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38E" w:rsidRPr="00AE1653" w:rsidRDefault="0095238E" w:rsidP="0095238E">
      <w:pPr>
        <w:jc w:val="right"/>
        <w:rPr>
          <w:rFonts w:ascii="Arial" w:hAnsi="Arial" w:cs="Arial"/>
        </w:rPr>
      </w:pPr>
      <w:r w:rsidRPr="00AE1653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</w:t>
      </w:r>
      <w:r w:rsidRPr="00AE1653">
        <w:rPr>
          <w:rFonts w:ascii="Arial" w:hAnsi="Arial" w:cs="Arial"/>
        </w:rPr>
        <w:t xml:space="preserve">do informacji </w:t>
      </w:r>
    </w:p>
    <w:p w:rsidR="0095238E" w:rsidRPr="00AE1653" w:rsidRDefault="0095238E" w:rsidP="0095238E">
      <w:pPr>
        <w:jc w:val="right"/>
        <w:rPr>
          <w:rFonts w:ascii="Arial" w:hAnsi="Arial" w:cs="Arial"/>
        </w:rPr>
      </w:pPr>
      <w:r w:rsidRPr="00AE1653">
        <w:rPr>
          <w:rFonts w:ascii="Arial" w:hAnsi="Arial" w:cs="Arial"/>
        </w:rPr>
        <w:t xml:space="preserve">z dnia  </w:t>
      </w:r>
      <w:r>
        <w:rPr>
          <w:rFonts w:ascii="Arial" w:hAnsi="Arial" w:cs="Arial"/>
        </w:rPr>
        <w:t>……………..</w:t>
      </w:r>
      <w:r w:rsidRPr="00AE1653">
        <w:rPr>
          <w:rFonts w:ascii="Arial" w:hAnsi="Arial" w:cs="Arial"/>
        </w:rPr>
        <w:t xml:space="preserve"> r.</w:t>
      </w:r>
    </w:p>
    <w:p w:rsidR="0095238E" w:rsidRDefault="0095238E" w:rsidP="001178B9">
      <w:pPr>
        <w:widowControl/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</w:rPr>
      </w:pPr>
    </w:p>
    <w:p w:rsidR="001178B9" w:rsidRPr="001178B9" w:rsidRDefault="001178B9" w:rsidP="001178B9">
      <w:pPr>
        <w:widowControl/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t>*</w:t>
      </w:r>
      <w:r w:rsidRPr="001178B9">
        <w:rPr>
          <w:rFonts w:ascii="TimesNewRoman,Bold" w:hAnsi="TimesNewRoman,Bold" w:cs="TimesNewRoman,Bold"/>
          <w:b/>
          <w:bCs/>
        </w:rPr>
        <w:t>Zajęcia praktyczne w zakresie udzielania pierwszej pomocy, gaszenia</w:t>
      </w:r>
    </w:p>
    <w:p w:rsidR="001178B9" w:rsidRPr="001178B9" w:rsidRDefault="001178B9" w:rsidP="00A856FD">
      <w:pPr>
        <w:tabs>
          <w:tab w:val="left" w:pos="7980"/>
        </w:tabs>
        <w:jc w:val="center"/>
        <w:rPr>
          <w:rFonts w:ascii="Arial" w:hAnsi="Arial" w:cs="Arial"/>
        </w:rPr>
      </w:pPr>
      <w:r w:rsidRPr="001178B9">
        <w:rPr>
          <w:rFonts w:ascii="TimesNewRoman,Bold" w:hAnsi="TimesNewRoman,Bold" w:cs="TimesNewRoman,Bold"/>
          <w:b/>
          <w:bCs/>
        </w:rPr>
        <w:t>pożarów oraz postępowania w razie zaistnienia wypadku lub awarii</w:t>
      </w:r>
      <w:bookmarkStart w:id="0" w:name="_GoBack"/>
      <w:bookmarkEnd w:id="0"/>
    </w:p>
    <w:p w:rsidR="001178B9" w:rsidRPr="001178B9" w:rsidRDefault="001178B9" w:rsidP="001178B9">
      <w:pPr>
        <w:tabs>
          <w:tab w:val="left" w:pos="7980"/>
        </w:tabs>
        <w:ind w:firstLine="4956"/>
        <w:rPr>
          <w:rFonts w:ascii="Arial" w:hAnsi="Arial" w:cs="Arial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2411"/>
        <w:gridCol w:w="2268"/>
        <w:gridCol w:w="2406"/>
        <w:gridCol w:w="2555"/>
      </w:tblGrid>
      <w:tr w:rsidR="001178B9" w:rsidRPr="001178B9" w:rsidTr="001178B9">
        <w:tc>
          <w:tcPr>
            <w:tcW w:w="2411" w:type="dxa"/>
          </w:tcPr>
          <w:p w:rsidR="001178B9" w:rsidRPr="001178B9" w:rsidRDefault="001178B9" w:rsidP="00295CB7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Temat nauczania</w:t>
            </w:r>
          </w:p>
        </w:tc>
        <w:tc>
          <w:tcPr>
            <w:tcW w:w="2268" w:type="dxa"/>
          </w:tcPr>
          <w:p w:rsidR="001178B9" w:rsidRPr="001178B9" w:rsidRDefault="001178B9" w:rsidP="00295CB7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Cel nauczania</w:t>
            </w:r>
          </w:p>
        </w:tc>
        <w:tc>
          <w:tcPr>
            <w:tcW w:w="2406" w:type="dxa"/>
          </w:tcPr>
          <w:p w:rsidR="001178B9" w:rsidRPr="001178B9" w:rsidRDefault="001178B9" w:rsidP="00295CB7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Treść nauczania</w:t>
            </w:r>
          </w:p>
        </w:tc>
        <w:tc>
          <w:tcPr>
            <w:tcW w:w="2555" w:type="dxa"/>
          </w:tcPr>
          <w:p w:rsidR="001178B9" w:rsidRPr="001178B9" w:rsidRDefault="001178B9" w:rsidP="00295CB7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Sposób realizacji</w:t>
            </w:r>
          </w:p>
        </w:tc>
      </w:tr>
      <w:tr w:rsidR="001178B9" w:rsidRPr="001178B9" w:rsidTr="001178B9">
        <w:tc>
          <w:tcPr>
            <w:tcW w:w="2411" w:type="dxa"/>
          </w:tcPr>
          <w:p w:rsidR="001178B9" w:rsidRPr="001178B9" w:rsidRDefault="001178B9" w:rsidP="00295CB7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Gaszenie pożarów</w:t>
            </w:r>
          </w:p>
        </w:tc>
        <w:tc>
          <w:tcPr>
            <w:tcW w:w="2268" w:type="dxa"/>
          </w:tcPr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Nabycie umiejętności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posługiwania się gaśnicą,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 szczególności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 przypadku zdarzeń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dotyczących towarów</w:t>
            </w:r>
          </w:p>
          <w:p w:rsidR="001178B9" w:rsidRPr="001178B9" w:rsidRDefault="001178B9" w:rsidP="001178B9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niebezpiecznych</w:t>
            </w:r>
          </w:p>
        </w:tc>
        <w:tc>
          <w:tcPr>
            <w:tcW w:w="2406" w:type="dxa"/>
          </w:tcPr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Prezentacja zasad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i sposobów posługiwania się</w:t>
            </w:r>
          </w:p>
          <w:p w:rsidR="001178B9" w:rsidRPr="001178B9" w:rsidRDefault="001178B9" w:rsidP="001178B9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gaśnicą</w:t>
            </w:r>
          </w:p>
        </w:tc>
        <w:tc>
          <w:tcPr>
            <w:tcW w:w="2555" w:type="dxa"/>
          </w:tcPr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Ćwiczenia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z instruktażem,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z uwzględnieniem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pisemnych instrukcji</w:t>
            </w:r>
          </w:p>
          <w:p w:rsidR="001178B9" w:rsidRPr="001178B9" w:rsidRDefault="001178B9" w:rsidP="001178B9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zgodnych z ADR</w:t>
            </w:r>
          </w:p>
        </w:tc>
      </w:tr>
      <w:tr w:rsidR="001178B9" w:rsidRPr="001178B9" w:rsidTr="001178B9">
        <w:tc>
          <w:tcPr>
            <w:tcW w:w="2411" w:type="dxa"/>
          </w:tcPr>
          <w:p w:rsidR="001178B9" w:rsidRPr="001178B9" w:rsidRDefault="001178B9" w:rsidP="00295CB7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Pierwsza pomoc</w:t>
            </w:r>
          </w:p>
        </w:tc>
        <w:tc>
          <w:tcPr>
            <w:tcW w:w="2268" w:type="dxa"/>
          </w:tcPr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Poznanie sposobów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postępowania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 przypadku obrażeń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będących skutkiem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oddziaływania towaru</w:t>
            </w:r>
          </w:p>
          <w:p w:rsidR="001178B9" w:rsidRPr="001178B9" w:rsidRDefault="001178B9" w:rsidP="001178B9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niebezpiecznego</w:t>
            </w:r>
          </w:p>
        </w:tc>
        <w:tc>
          <w:tcPr>
            <w:tcW w:w="2406" w:type="dxa"/>
          </w:tcPr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Czynności, które należy podjąć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odpowiednio do rodzaju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obrażeń będących skutkiem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oddziaływania towaru</w:t>
            </w:r>
          </w:p>
          <w:p w:rsidR="001178B9" w:rsidRPr="001178B9" w:rsidRDefault="001178B9" w:rsidP="001178B9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niebezpiecznego</w:t>
            </w:r>
          </w:p>
        </w:tc>
        <w:tc>
          <w:tcPr>
            <w:tcW w:w="2555" w:type="dxa"/>
          </w:tcPr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Ćwiczenia</w:t>
            </w:r>
          </w:p>
          <w:p w:rsidR="001178B9" w:rsidRPr="001178B9" w:rsidRDefault="001178B9" w:rsidP="001178B9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z instruktażem</w:t>
            </w:r>
          </w:p>
        </w:tc>
      </w:tr>
      <w:tr w:rsidR="001178B9" w:rsidRPr="001178B9" w:rsidTr="001178B9">
        <w:tc>
          <w:tcPr>
            <w:tcW w:w="2411" w:type="dxa"/>
          </w:tcPr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Postępowania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 razie zaistnienia</w:t>
            </w:r>
          </w:p>
          <w:p w:rsidR="001178B9" w:rsidRPr="001178B9" w:rsidRDefault="001178B9" w:rsidP="001178B9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wypadku lub awarii</w:t>
            </w:r>
          </w:p>
        </w:tc>
        <w:tc>
          <w:tcPr>
            <w:tcW w:w="2268" w:type="dxa"/>
          </w:tcPr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Uświadomienie skutków,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które może spowodować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wypadek lub awaria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środka transportu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przewożącego towary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niebezpieczne, oraz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przedstawienie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wytycznych w zakresie</w:t>
            </w:r>
          </w:p>
          <w:p w:rsidR="001178B9" w:rsidRPr="001178B9" w:rsidRDefault="001178B9" w:rsidP="001178B9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odpowiedniego działania</w:t>
            </w:r>
          </w:p>
        </w:tc>
        <w:tc>
          <w:tcPr>
            <w:tcW w:w="2406" w:type="dxa"/>
          </w:tcPr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Procedury powiadamiania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i postępowania w przypadkach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zagrożeń. Zasady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postępowania w miejscu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wypadku lub awarii, w tym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stosowanie sprzętu ochrony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ogólnej i indywidualnej.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Zabezpieczenie miejsca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wypadku lub awarii.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Wykorzystanie możliwie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wszystkich dostępnych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informacji dotyczących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towarów niebezpiecznych.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Rozpoznawanie zagrożeń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i sposoby ich usuwania.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Działania zmierzające do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ograniczenia skutków wypadku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lub awarii. Wyposażenie i inne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środki, które powinny być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użyte w celu</w:t>
            </w:r>
          </w:p>
          <w:p w:rsidR="001178B9" w:rsidRPr="001178B9" w:rsidRDefault="001178B9" w:rsidP="001178B9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zminimalizowania zagrożeń</w:t>
            </w:r>
          </w:p>
        </w:tc>
        <w:tc>
          <w:tcPr>
            <w:tcW w:w="2555" w:type="dxa"/>
          </w:tcPr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Ćwiczenia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z instruktażem,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z uwzględnieniem</w:t>
            </w:r>
          </w:p>
          <w:p w:rsidR="001178B9" w:rsidRPr="001178B9" w:rsidRDefault="001178B9" w:rsidP="001178B9">
            <w:pPr>
              <w:widowControl/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pisemnych instrukcji</w:t>
            </w:r>
          </w:p>
          <w:p w:rsidR="001178B9" w:rsidRPr="001178B9" w:rsidRDefault="001178B9" w:rsidP="001178B9">
            <w:pPr>
              <w:tabs>
                <w:tab w:val="left" w:pos="7980"/>
              </w:tabs>
              <w:rPr>
                <w:rFonts w:ascii="Arial" w:hAnsi="Arial" w:cs="Arial"/>
              </w:rPr>
            </w:pPr>
            <w:r w:rsidRPr="001178B9">
              <w:rPr>
                <w:rFonts w:ascii="TimesNewRoman" w:eastAsiaTheme="minorHAnsi" w:hAnsi="TimesNewRoman" w:cs="TimesNewRoman"/>
                <w:lang w:eastAsia="en-US"/>
              </w:rPr>
              <w:t>zgodnych z ADR</w:t>
            </w:r>
          </w:p>
        </w:tc>
      </w:tr>
    </w:tbl>
    <w:p w:rsidR="001178B9" w:rsidRPr="001178B9" w:rsidRDefault="001178B9" w:rsidP="001178B9">
      <w:pPr>
        <w:tabs>
          <w:tab w:val="left" w:pos="7980"/>
        </w:tabs>
        <w:ind w:firstLine="4956"/>
        <w:rPr>
          <w:rFonts w:ascii="Arial" w:hAnsi="Arial" w:cs="Arial"/>
        </w:rPr>
      </w:pPr>
    </w:p>
    <w:p w:rsidR="001178B9" w:rsidRPr="001178B9" w:rsidRDefault="001178B9" w:rsidP="001178B9">
      <w:pPr>
        <w:tabs>
          <w:tab w:val="left" w:pos="7980"/>
        </w:tabs>
        <w:ind w:firstLine="4956"/>
        <w:rPr>
          <w:rFonts w:ascii="Arial" w:hAnsi="Arial" w:cs="Arial"/>
        </w:rPr>
      </w:pPr>
    </w:p>
    <w:p w:rsidR="00D11F65" w:rsidRPr="001178B9" w:rsidRDefault="00D11F65"/>
    <w:sectPr w:rsidR="00D11F65" w:rsidRPr="00117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C6"/>
    <w:rsid w:val="001178B9"/>
    <w:rsid w:val="007E15C6"/>
    <w:rsid w:val="0095238E"/>
    <w:rsid w:val="00A856FD"/>
    <w:rsid w:val="00D1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5531C-4D90-4C7C-8526-FFFA0C35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78B9"/>
    <w:pPr>
      <w:widowControl w:val="0"/>
      <w:spacing w:after="0" w:line="240" w:lineRule="auto"/>
    </w:pPr>
    <w:rPr>
      <w:rFonts w:ascii="Courier" w:eastAsia="Times New Roman" w:hAnsi="Courier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17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229</Words>
  <Characters>1378</Characters>
  <Application>Microsoft Office Word</Application>
  <DocSecurity>0</DocSecurity>
  <Lines>11</Lines>
  <Paragraphs>3</Paragraphs>
  <ScaleCrop>false</ScaleCrop>
  <Company>UMWM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Gregorczyk</dc:creator>
  <cp:keywords/>
  <dc:description/>
  <cp:lastModifiedBy>Anna Gregorczyk</cp:lastModifiedBy>
  <cp:revision>4</cp:revision>
  <dcterms:created xsi:type="dcterms:W3CDTF">2020-01-16T11:06:00Z</dcterms:created>
  <dcterms:modified xsi:type="dcterms:W3CDTF">2020-01-16T11:17:00Z</dcterms:modified>
</cp:coreProperties>
</file>