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9D" w:rsidRDefault="0051679D" w:rsidP="0051679D">
      <w:pPr>
        <w:jc w:val="center"/>
        <w:rPr>
          <w:b/>
        </w:rPr>
      </w:pPr>
      <w:r>
        <w:rPr>
          <w:b/>
        </w:rPr>
        <w:t xml:space="preserve">Objaśnienia wartości przyjętych w wieloletniej prognozie finansowej </w:t>
      </w:r>
    </w:p>
    <w:p w:rsidR="002C0663" w:rsidRDefault="00214CAE" w:rsidP="0051679D">
      <w:pPr>
        <w:jc w:val="center"/>
        <w:rPr>
          <w:b/>
        </w:rPr>
      </w:pPr>
      <w:r>
        <w:rPr>
          <w:b/>
        </w:rPr>
        <w:t>na lata 2011-202</w:t>
      </w:r>
      <w:r w:rsidR="0051679D">
        <w:rPr>
          <w:b/>
        </w:rPr>
        <w:t xml:space="preserve">0 Gminy Kamionka Wielka </w:t>
      </w:r>
    </w:p>
    <w:p w:rsidR="0051679D" w:rsidRDefault="0051679D" w:rsidP="0051679D">
      <w:pPr>
        <w:jc w:val="center"/>
        <w:rPr>
          <w:b/>
        </w:rPr>
      </w:pPr>
    </w:p>
    <w:p w:rsidR="0051679D" w:rsidRDefault="0051679D" w:rsidP="0051679D">
      <w:pPr>
        <w:jc w:val="center"/>
        <w:rPr>
          <w:b/>
        </w:rPr>
      </w:pPr>
    </w:p>
    <w:p w:rsidR="0051679D" w:rsidRDefault="0051679D" w:rsidP="0051679D">
      <w:r>
        <w:t xml:space="preserve">W wieloletniej prognozie finansowej na lata 2011-2020 przyjęto wzrost ogólnych kwot dochodów i wydatków w latach 2011-2015 w przyjętym tempie wzrostu  5,4,3,2 % . Od roku 2016 przyjęto stałe wielkości tak dochodów jak i wydatków uznając , że planowany wzrost powyżej 5 lat obarczony jest dużym ryzykiem błędu . </w:t>
      </w:r>
    </w:p>
    <w:p w:rsidR="0051679D" w:rsidRDefault="0051679D" w:rsidP="0051679D"/>
    <w:p w:rsidR="0051679D" w:rsidRPr="00C45B0C" w:rsidRDefault="0051679D" w:rsidP="0051679D">
      <w:pPr>
        <w:rPr>
          <w:b/>
        </w:rPr>
      </w:pPr>
      <w:r w:rsidRPr="00C45B0C">
        <w:rPr>
          <w:b/>
        </w:rPr>
        <w:t xml:space="preserve">Dochody : </w:t>
      </w:r>
    </w:p>
    <w:p w:rsidR="0051679D" w:rsidRDefault="00C45B0C" w:rsidP="0051679D">
      <w:r>
        <w:t xml:space="preserve">Założono wzrost dochodów   na poziomie 5 %  zgodnie z informacji przekazanych przez Ministerstwo Finansów, wskaźników publikowanych przez GUS jak również dotacji na zadania zlecone w związku ze zwiększaniem zakresu zadań  z pomocy społecznej . </w:t>
      </w:r>
    </w:p>
    <w:p w:rsidR="00C45B0C" w:rsidRDefault="00C45B0C" w:rsidP="0051679D">
      <w:r>
        <w:t>Wzrost  dochodów podatkowych przyjęto w związku z masowym wykupem gruntów na terenie gminy – gminy sąsiadującej z miastem Nowym Sącz i dużym zainteresowaniem  tych terenów jako noclegownia ludzi pracujących w Nowym Sączu , mocnym rozwojem budownictwa mieszkaniowego a tym samym wzrostem powierzchni do opodatkowania podatkiem od nieruchomości .</w:t>
      </w:r>
    </w:p>
    <w:p w:rsidR="00C45B0C" w:rsidRDefault="00C45B0C" w:rsidP="0051679D">
      <w:r>
        <w:t>W roku 2012 założone sfinalizowanie sprzedaży gruntu tzw. „Czarnej Kępnicy” w Królowej Górnej – dane pozyskane na podstawie posiadanej wyceny gruntów  na stanowisku do spraw obrotu gruntami.</w:t>
      </w:r>
    </w:p>
    <w:p w:rsidR="00C45B0C" w:rsidRDefault="00C45B0C" w:rsidP="0051679D"/>
    <w:p w:rsidR="00C45B0C" w:rsidRDefault="00C45B0C" w:rsidP="0051679D">
      <w:pPr>
        <w:rPr>
          <w:b/>
        </w:rPr>
      </w:pPr>
      <w:r w:rsidRPr="00C45B0C">
        <w:rPr>
          <w:b/>
        </w:rPr>
        <w:t>Wydatki :</w:t>
      </w:r>
    </w:p>
    <w:p w:rsidR="00C45B0C" w:rsidRDefault="009174EA" w:rsidP="0051679D">
      <w:r>
        <w:t xml:space="preserve">Wydatki na obsługę długu </w:t>
      </w:r>
      <w:r w:rsidR="00531859">
        <w:t xml:space="preserve"> zaplanowano na podstawie harmonogramów zaciągniętych kredytów w latach poprzednich a pozostających do spłaty oraz planowanych nowych kredytów tj. w roku 2011</w:t>
      </w:r>
      <w:r w:rsidR="00A26FF3">
        <w:t xml:space="preserve"> w kwocie 5.100.000 , w 2012 w kwocie : 3.628.871 , w roku 3.472.166 , w roku 1. 247.606 . Spłatę starych kredytów zaciągniętych do 2010 roku zaplanowano spłacić w latach od 2011-2012 , pozostałe zaś w okresie od 2013- 2020 roku . W roku 2011 zaplanowano spłatę  pożyczki na tzw. Wyprzedzające finansowanie w związku z tym że zaplanowane środki w 2010 nie spłyną do końca roku 2010 z uwagi na wydłużające się procedury ostatecznego rozliczenia projektu ze środków Programu Rozwoju Obszarów Wiejskich na lata 2007-2013 .</w:t>
      </w:r>
    </w:p>
    <w:p w:rsidR="0057617A" w:rsidRDefault="0057617A" w:rsidP="0051679D">
      <w:r>
        <w:t>Wydatki z tytułu udzielonych poręczeń nie zaplanowano , gdyż do tej pory nie udzielono żadnych poręczeń , ani też żadna instytucja nie zwróciła się o ich udzielenie .</w:t>
      </w:r>
    </w:p>
    <w:p w:rsidR="0057617A" w:rsidRDefault="0057617A" w:rsidP="0051679D">
      <w:r>
        <w:t xml:space="preserve">Wynagrodzenie i składki związane z ich naliczeniem – zaplanowano wzrosty  w 2011 – zaplanowano na podstawie potrzeb roku 2010 przyjmując wzrost  5%  , gdyż znaczną kwotę stanowią wynagrodzenia nauczycieli w podległych jednostkach oświatowych  , którym karta nauczyciela zapewnia odpowiednie wzrosty wynagrodzeń, 2012 – 5% wzrostu , 2013 -5% wzrostu , 2014 rok 2% wzrostu . Od roku 2015 przyjęto stałe kwoty na podstawie roku bazowego 2014 z uwagi na odległy </w:t>
      </w:r>
      <w:r>
        <w:lastRenderedPageBreak/>
        <w:t>okres i ryzyko możliwe przy planowaniu długofalowym.  W poszczególnych latach w podległych jednostkach uwzględniono wypłatę odpraw emerytalnych zwłaszcza w jednostce Urząd Gminy .</w:t>
      </w:r>
    </w:p>
    <w:p w:rsidR="0057617A" w:rsidRDefault="0057617A" w:rsidP="0051679D">
      <w:r>
        <w:t>Pozycja „Wydatki związane z funkcjonowaniem organów j.s.t obejmuje tylko wydatki planowane w rozdziale  75022 „ Rady gmin (Miast i miast prawach powiatu)</w:t>
      </w:r>
      <w:r w:rsidR="00F301EE">
        <w:t xml:space="preserve"> . Wynagrodzenie Wójta ujęto w ogólnej kwocie wynagrodzenia i składki od nich naliczane .</w:t>
      </w:r>
    </w:p>
    <w:p w:rsidR="00263982" w:rsidRDefault="00F301EE" w:rsidP="0051679D">
      <w:r>
        <w:t xml:space="preserve">W ramach przedsięwzięć wykazanych w załączniku nr 2 do uchwały w sprawie wieloletniej prognozy finansowej wykazano kwoty wynikające z zawartych już umów </w:t>
      </w:r>
      <w:r w:rsidR="00263982">
        <w:t xml:space="preserve"> lub przewidziane uchwałami rady gminy .</w:t>
      </w:r>
    </w:p>
    <w:p w:rsidR="00263982" w:rsidRDefault="00263982" w:rsidP="0051679D"/>
    <w:p w:rsidR="00263982" w:rsidRDefault="00263982" w:rsidP="0051679D">
      <w:r>
        <w:t>W ramach przedsięwzięcia obejmującego umowy , których realizacja w roku budżetowym i w latach następnych jest niezbędna do zapewnienia ciągłości działania jednostki i z których wynikające płatności wykraczają poza rok budżetowy wykazano kwoty zawarte lub konieczne do zawarcia przez jednostki podległe gminie Kamionka Wielka  tj. poszczególne jednostki z zakresu oświaty , pomocy społecznej oraz urzędu gminy . Szczegółowe wydatki z podziałem na poszczególne jednostki wykazano w części  C załącznika Nr 2 do uchwały  . Od roku 2015 przyjęto kwoty stałe na bazie roku 2014 .</w:t>
      </w:r>
    </w:p>
    <w:p w:rsidR="00F301EE" w:rsidRDefault="00263982" w:rsidP="0051679D">
      <w:r>
        <w:t xml:space="preserve"> W</w:t>
      </w:r>
      <w:r w:rsidR="00F301EE">
        <w:t xml:space="preserve"> zakresie wydatków majątkowy</w:t>
      </w:r>
      <w:r w:rsidR="006B29C7">
        <w:t xml:space="preserve">ch przyjęto zasadę zakończenia : </w:t>
      </w:r>
      <w:r w:rsidR="00F301EE">
        <w:t xml:space="preserve"> inwestycji </w:t>
      </w:r>
      <w:r w:rsidR="006B29C7">
        <w:t xml:space="preserve"> pn.” Budowa przedszkola wraz z biblioteką przy Szkole Podstawowej Nr 2 w Kamionce Wielkiej „ w 2011 roku  gdyż podpisano wcześniej umowę  uruchomienia przedszkola od 01 września 2011 przy udziale środków  EFS  na lata 2007-2013 . Kolejne inwestycja to budowa Gimnazjum w Mystkowie , budowa Sali gimnastycznej w Mszalnicy oraz budowa Sali gimnastycznej w Jamnicy</w:t>
      </w:r>
      <w:r>
        <w:t xml:space="preserve"> , budowa boisk sportowych w Królowej Górnej oraz Królowej Polskiej </w:t>
      </w:r>
      <w:r w:rsidR="006B29C7">
        <w:t xml:space="preserve"> jako program rozwoju bazy sportowej na terenie gminy – inwestycje zakończyć do roku  2013 mając na uwadze możliwość pozyskania środków w ramach programowania 2007-2013 . </w:t>
      </w:r>
    </w:p>
    <w:p w:rsidR="00263982" w:rsidRDefault="00263982" w:rsidP="0051679D"/>
    <w:p w:rsidR="00263982" w:rsidRDefault="00263982" w:rsidP="0051679D">
      <w:pPr>
        <w:rPr>
          <w:b/>
        </w:rPr>
      </w:pPr>
      <w:r w:rsidRPr="00263982">
        <w:rPr>
          <w:b/>
        </w:rPr>
        <w:t>Przychody .</w:t>
      </w:r>
    </w:p>
    <w:p w:rsidR="00263982" w:rsidRDefault="005645B0" w:rsidP="0051679D">
      <w:r>
        <w:t>Przychody zaplanowano w kolejnych latach  tj : 2011-2014 w ogólnej kwocie :  13.448.643 w związku z podjęciem realizacji całości zadań : Budowa przedszkola wraz z biblioteką przy Szkole Nr 2 w Kamionce Wielkiej , Budowa gimnazjum wraz z salą gimnastyczną w Mystkowie , Budowa Sali gimnastycznej w Mszalnicy , Budowa Sali gimnastycznej w Jamnicy .</w:t>
      </w:r>
    </w:p>
    <w:p w:rsidR="005645B0" w:rsidRDefault="005645B0" w:rsidP="0051679D">
      <w:pPr>
        <w:rPr>
          <w:b/>
        </w:rPr>
      </w:pPr>
      <w:r w:rsidRPr="005645B0">
        <w:rPr>
          <w:b/>
        </w:rPr>
        <w:t xml:space="preserve">Rozchody : </w:t>
      </w:r>
    </w:p>
    <w:p w:rsidR="005645B0" w:rsidRDefault="005645B0" w:rsidP="0051679D">
      <w:r w:rsidRPr="005645B0">
        <w:t>W latach 2011-2012</w:t>
      </w:r>
      <w:r>
        <w:t xml:space="preserve"> zaplanowano spłatę całości kredytów zaciągniętych do roku 2010 . Począwszy od roku 2013 do roku 2020 wskazano spłaty poszczególnych kredytów zaciągniętych na realizację i zakończenie opisanych powyżej zadaniach .</w:t>
      </w:r>
    </w:p>
    <w:p w:rsidR="005645B0" w:rsidRDefault="005645B0" w:rsidP="0051679D">
      <w:pPr>
        <w:rPr>
          <w:b/>
        </w:rPr>
      </w:pPr>
      <w:r>
        <w:rPr>
          <w:b/>
        </w:rPr>
        <w:t xml:space="preserve">Finansowanie deficytu i przeznaczenie nadwyżki . </w:t>
      </w:r>
    </w:p>
    <w:p w:rsidR="005645B0" w:rsidRDefault="005645B0" w:rsidP="0051679D">
      <w:r>
        <w:t>W związku z przepisem</w:t>
      </w:r>
      <w:r w:rsidR="0085760C">
        <w:t xml:space="preserve"> art. 89 ust. 1 ustawy o finansach publicznych przewiduje się</w:t>
      </w:r>
      <w:r w:rsidR="00432800">
        <w:t xml:space="preserve"> , że w przypadku planowania w danym roku pożyczek do udzielenia muszą mieć one pokrycie w nadwyżce budżetowej </w:t>
      </w:r>
      <w:r w:rsidR="00432800">
        <w:lastRenderedPageBreak/>
        <w:t>danego roku , nadwyżce budżetowej z lat poprzednich lub wolnych  środków . W przyjętej prognozie na lata 2011-2020 nie planowano nadwyżki budżetowej gdyż poszczególne lata nie zamyka się nadwyżką . Nie planuje się także udzielenia pożyczek . W przypadku wystąpienia wolnych środków na koniec roku 2010 dokona się weryfikacji uchwały budżetowej na rok 2011 oraz wieloletniej prognozy finansowej .</w:t>
      </w:r>
    </w:p>
    <w:p w:rsidR="00432800" w:rsidRDefault="00432800" w:rsidP="0051679D">
      <w:pPr>
        <w:rPr>
          <w:b/>
        </w:rPr>
      </w:pPr>
      <w:r>
        <w:rPr>
          <w:b/>
        </w:rPr>
        <w:t xml:space="preserve">Kwota długu , sposób jego sfinansowania i relacja o której mowa w art. 243 ustawy o finansach publicznych . </w:t>
      </w:r>
    </w:p>
    <w:p w:rsidR="00432800" w:rsidRDefault="00432800" w:rsidP="0051679D">
      <w:r>
        <w:t xml:space="preserve">Kwota wykazana jako dług na koniec każdego roku jest wynikiem działania : dług z poprzedniego roku + zaciągany dług – spłata długu . </w:t>
      </w:r>
    </w:p>
    <w:p w:rsidR="00432800" w:rsidRDefault="00432800" w:rsidP="0051679D">
      <w:r>
        <w:t xml:space="preserve">Sposób finansowania długu : przyjmuje się , że dług (jego spłata) jest finansowana w pierwszej kolejności z nadwyżki budżetowej , wolnych środków . W następnej kolejności dług finansuje się nowo zaciągniętym długiem . Wyliczenia w tym zakresie zawiera </w:t>
      </w:r>
      <w:r w:rsidR="00984F76">
        <w:t>pozycja – wiersz IX tabeli  załącznika Nr 1 .</w:t>
      </w:r>
    </w:p>
    <w:p w:rsidR="00984F76" w:rsidRDefault="00984F76" w:rsidP="0051679D">
      <w:r>
        <w:t>Relacja o której mowa w art. 169 i 170  ustawy o finansach publicznych  z dnia  30 czerwca 2005 roku wyliczona została w pozycjach X- XII  tabeli załącznika Nr 1</w:t>
      </w:r>
    </w:p>
    <w:p w:rsidR="00984F76" w:rsidRPr="00432800" w:rsidRDefault="00984F76" w:rsidP="0051679D">
      <w:r>
        <w:t>Relacja  o której mowa w art. 243 ustawy o finansach publicznych z dnia 27 sierpnia 2009 roku została wyliczona w wierszu XV tabeli załącznika Nr 1 .</w:t>
      </w:r>
    </w:p>
    <w:p w:rsidR="005645B0" w:rsidRPr="00263982" w:rsidRDefault="005645B0" w:rsidP="0051679D"/>
    <w:p w:rsidR="00263982" w:rsidRPr="009174EA" w:rsidRDefault="00263982" w:rsidP="0051679D"/>
    <w:sectPr w:rsidR="00263982" w:rsidRPr="009174EA" w:rsidSect="002C0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1679D"/>
    <w:rsid w:val="00063B12"/>
    <w:rsid w:val="00184F7B"/>
    <w:rsid w:val="00214CAE"/>
    <w:rsid w:val="00263982"/>
    <w:rsid w:val="002C0663"/>
    <w:rsid w:val="00432800"/>
    <w:rsid w:val="0051679D"/>
    <w:rsid w:val="00531859"/>
    <w:rsid w:val="005645B0"/>
    <w:rsid w:val="0057617A"/>
    <w:rsid w:val="005C54C9"/>
    <w:rsid w:val="006706CF"/>
    <w:rsid w:val="006B29C7"/>
    <w:rsid w:val="0085760C"/>
    <w:rsid w:val="009174EA"/>
    <w:rsid w:val="00984F76"/>
    <w:rsid w:val="00A26FF3"/>
    <w:rsid w:val="00B07A54"/>
    <w:rsid w:val="00C45B0C"/>
    <w:rsid w:val="00CB4E14"/>
    <w:rsid w:val="00CB6AF5"/>
    <w:rsid w:val="00E706B2"/>
    <w:rsid w:val="00F301EE"/>
    <w:rsid w:val="00F4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2010-11-12T07:02:00Z</cp:lastPrinted>
  <dcterms:created xsi:type="dcterms:W3CDTF">2011-01-20T12:03:00Z</dcterms:created>
  <dcterms:modified xsi:type="dcterms:W3CDTF">2011-01-20T12:03:00Z</dcterms:modified>
</cp:coreProperties>
</file>